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DF" w:rsidRDefault="007064DF" w:rsidP="007064DF">
      <w:pPr>
        <w:autoSpaceDE w:val="0"/>
        <w:autoSpaceDN w:val="0"/>
        <w:adjustRightInd w:val="0"/>
        <w:rPr>
          <w:rFonts w:ascii="BritishCouncilSansCyr-BoldIt" w:eastAsiaTheme="minorHAnsi" w:hAnsi="BritishCouncilSansCyr-BoldIt" w:cs="BritishCouncilSansCyr-BoldIt"/>
          <w:b/>
          <w:bCs/>
          <w:i/>
          <w:iCs/>
          <w:color w:val="231F20"/>
          <w:lang w:eastAsia="en-US"/>
        </w:rPr>
      </w:pPr>
      <w:r>
        <w:rPr>
          <w:rFonts w:ascii="BritishCouncilSansCyr-BoldIt" w:eastAsiaTheme="minorHAnsi" w:hAnsi="BritishCouncilSansCyr-BoldIt" w:cs="BritishCouncilSansCyr-BoldIt"/>
          <w:b/>
          <w:bCs/>
          <w:i/>
          <w:iCs/>
          <w:color w:val="231F20"/>
          <w:lang w:eastAsia="en-US"/>
        </w:rPr>
        <w:t>Основні завдання освіти в галузі сталого розвитку полягають у: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• </w:t>
      </w:r>
      <w:r w:rsidRPr="007064DF">
        <w:rPr>
          <w:rFonts w:eastAsiaTheme="minorHAnsi"/>
          <w:sz w:val="28"/>
          <w:szCs w:val="28"/>
          <w:lang w:eastAsia="en-US"/>
        </w:rPr>
        <w:t>подальшому вдосконаленні базової освіти;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переорієнтації освіти на реалізацію сталого розвитку;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</w:t>
      </w:r>
      <w:r w:rsidRPr="007064DF">
        <w:rPr>
          <w:rFonts w:eastAsiaTheme="minorHAnsi"/>
          <w:sz w:val="28"/>
          <w:szCs w:val="28"/>
          <w:lang w:eastAsia="en-US"/>
        </w:rPr>
        <w:t>підвищенні поінформованості с</w:t>
      </w:r>
      <w:r>
        <w:rPr>
          <w:rFonts w:eastAsiaTheme="minorHAnsi"/>
          <w:sz w:val="28"/>
          <w:szCs w:val="28"/>
          <w:lang w:eastAsia="en-US"/>
        </w:rPr>
        <w:t>успільства про стан довкілля т</w:t>
      </w:r>
      <w:r>
        <w:rPr>
          <w:rFonts w:eastAsiaTheme="minorHAnsi"/>
          <w:sz w:val="28"/>
          <w:szCs w:val="28"/>
          <w:lang w:val="uk-UA" w:eastAsia="en-US"/>
        </w:rPr>
        <w:t xml:space="preserve">а </w:t>
      </w:r>
      <w:r w:rsidRPr="007064DF">
        <w:rPr>
          <w:rFonts w:eastAsiaTheme="minorHAnsi"/>
          <w:sz w:val="28"/>
          <w:szCs w:val="28"/>
          <w:lang w:eastAsia="en-US"/>
        </w:rPr>
        <w:t>усвідомленні власної ролі кожн</w:t>
      </w:r>
      <w:r>
        <w:rPr>
          <w:rFonts w:eastAsiaTheme="minorHAnsi"/>
          <w:sz w:val="28"/>
          <w:szCs w:val="28"/>
          <w:lang w:eastAsia="en-US"/>
        </w:rPr>
        <w:t>ого члена суспільства щодо мож</w:t>
      </w:r>
      <w:r w:rsidRPr="007064DF">
        <w:rPr>
          <w:rFonts w:eastAsiaTheme="minorHAnsi"/>
          <w:sz w:val="28"/>
          <w:szCs w:val="28"/>
          <w:lang w:eastAsia="en-US"/>
        </w:rPr>
        <w:t>ливостей з його вдосконалення;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усвідомленні широкою грома</w:t>
      </w:r>
      <w:r>
        <w:rPr>
          <w:rFonts w:eastAsiaTheme="minorHAnsi"/>
          <w:sz w:val="28"/>
          <w:szCs w:val="28"/>
          <w:lang w:eastAsia="en-US"/>
        </w:rPr>
        <w:t>дськістю принципів і перспекти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реалізації сталого розвитку;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практичній підготовці й перепідготовці фахівців у галузі сталого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управління територіями, ресурсами, галузями господарства.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</w:t>
      </w:r>
      <w:r w:rsidRPr="007064DF">
        <w:rPr>
          <w:rFonts w:eastAsiaTheme="minorHAnsi"/>
          <w:sz w:val="28"/>
          <w:szCs w:val="28"/>
          <w:lang w:eastAsia="en-US"/>
        </w:rPr>
        <w:t xml:space="preserve">Освіта з метою сталого розвитку має сприяти </w:t>
      </w:r>
      <w:r>
        <w:rPr>
          <w:rFonts w:eastAsiaTheme="minorHAnsi"/>
          <w:sz w:val="28"/>
          <w:szCs w:val="28"/>
          <w:lang w:eastAsia="en-US"/>
        </w:rPr>
        <w:t>формуванню у людей почуття осо</w:t>
      </w:r>
      <w:r w:rsidRPr="007064DF">
        <w:rPr>
          <w:rFonts w:eastAsiaTheme="minorHAnsi"/>
          <w:sz w:val="28"/>
          <w:szCs w:val="28"/>
          <w:lang w:eastAsia="en-US"/>
        </w:rPr>
        <w:t>бистої і колективної відповідальнос</w:t>
      </w:r>
      <w:r>
        <w:rPr>
          <w:rFonts w:eastAsiaTheme="minorHAnsi"/>
          <w:sz w:val="28"/>
          <w:szCs w:val="28"/>
          <w:lang w:eastAsia="en-US"/>
        </w:rPr>
        <w:t>ті, а також змінам у поведінці.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val="uk-UA"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Необхідно зміцнювати в</w:t>
      </w:r>
      <w:r>
        <w:rPr>
          <w:rFonts w:eastAsiaTheme="minorHAnsi"/>
          <w:sz w:val="28"/>
          <w:szCs w:val="28"/>
          <w:lang w:eastAsia="en-US"/>
        </w:rPr>
        <w:t>заємозв'язок між природничими 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суспільними науками, запровад</w:t>
      </w:r>
      <w:r>
        <w:rPr>
          <w:rFonts w:eastAsiaTheme="minorHAnsi"/>
          <w:sz w:val="28"/>
          <w:szCs w:val="28"/>
          <w:lang w:eastAsia="en-US"/>
        </w:rPr>
        <w:t>жуючи міждисциплінарні підходи.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val="uk-UA" w:eastAsia="en-US"/>
        </w:rPr>
        <w:t>Сталий розвиток потребує концеп</w:t>
      </w:r>
      <w:r w:rsidRPr="007064DF">
        <w:rPr>
          <w:rFonts w:eastAsiaTheme="minorHAnsi"/>
          <w:sz w:val="28"/>
          <w:szCs w:val="28"/>
          <w:lang w:val="uk-UA" w:eastAsia="en-US"/>
        </w:rPr>
        <w:t>ції освіти, спрямованої на ком</w:t>
      </w:r>
      <w:r w:rsidRPr="007064DF">
        <w:rPr>
          <w:rFonts w:eastAsiaTheme="minorHAnsi"/>
          <w:sz w:val="28"/>
          <w:szCs w:val="28"/>
          <w:lang w:val="uk-UA" w:eastAsia="en-US"/>
        </w:rPr>
        <w:t>плексний і динамічний підхід, який</w:t>
      </w:r>
      <w:r w:rsidRPr="007064DF">
        <w:rPr>
          <w:rFonts w:eastAsiaTheme="minorHAnsi"/>
          <w:sz w:val="28"/>
          <w:szCs w:val="28"/>
          <w:lang w:val="uk-UA" w:eastAsia="en-US"/>
        </w:rPr>
        <w:t xml:space="preserve"> враховує важливість критичного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val="uk-UA" w:eastAsia="en-US"/>
        </w:rPr>
        <w:t>мислення, соціального навчанн</w:t>
      </w:r>
      <w:r>
        <w:rPr>
          <w:rFonts w:eastAsiaTheme="minorHAnsi"/>
          <w:sz w:val="28"/>
          <w:szCs w:val="28"/>
          <w:lang w:val="uk-UA" w:eastAsia="en-US"/>
        </w:rPr>
        <w:t xml:space="preserve">я і участь у житті суспільства. </w:t>
      </w:r>
      <w:r w:rsidRPr="007064DF">
        <w:rPr>
          <w:rFonts w:eastAsiaTheme="minorHAnsi"/>
          <w:sz w:val="28"/>
          <w:szCs w:val="28"/>
          <w:lang w:eastAsia="en-US"/>
        </w:rPr>
        <w:t>Освіта для сталого розвитку висуває на перший план нові підходи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до використання природних ресурсів та проблеми їх відновлення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(сталості). Негативний екологічний вплив розглядається як результат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нераціонального використання природних ресурсів. Позитивною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екологічна ситуація може стати ли</w:t>
      </w:r>
      <w:r>
        <w:rPr>
          <w:rFonts w:eastAsiaTheme="minorHAnsi"/>
          <w:sz w:val="28"/>
          <w:szCs w:val="28"/>
          <w:lang w:eastAsia="en-US"/>
        </w:rPr>
        <w:t>ше за сприяння населення, яке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має докладати зусиль для ств</w:t>
      </w:r>
      <w:r>
        <w:rPr>
          <w:rFonts w:eastAsiaTheme="minorHAnsi"/>
          <w:sz w:val="28"/>
          <w:szCs w:val="28"/>
          <w:lang w:eastAsia="en-US"/>
        </w:rPr>
        <w:t>орення надійного соціально-еко</w:t>
      </w:r>
      <w:r w:rsidRPr="007064DF">
        <w:rPr>
          <w:rFonts w:eastAsiaTheme="minorHAnsi"/>
          <w:sz w:val="28"/>
          <w:szCs w:val="28"/>
          <w:lang w:eastAsia="en-US"/>
        </w:rPr>
        <w:t xml:space="preserve">номічного становища. Саме тому в </w:t>
      </w:r>
      <w:r>
        <w:rPr>
          <w:rFonts w:eastAsiaTheme="minorHAnsi"/>
          <w:sz w:val="28"/>
          <w:szCs w:val="28"/>
          <w:lang w:eastAsia="en-US"/>
        </w:rPr>
        <w:t>освіті для сталого розвитку пе</w:t>
      </w:r>
      <w:r w:rsidRPr="007064DF">
        <w:rPr>
          <w:rFonts w:eastAsiaTheme="minorHAnsi"/>
          <w:sz w:val="28"/>
          <w:szCs w:val="28"/>
          <w:lang w:eastAsia="en-US"/>
        </w:rPr>
        <w:t xml:space="preserve">реплітаються економічні, соціальні </w:t>
      </w:r>
      <w:r>
        <w:rPr>
          <w:rFonts w:eastAsiaTheme="minorHAnsi"/>
          <w:sz w:val="28"/>
          <w:szCs w:val="28"/>
          <w:lang w:eastAsia="en-US"/>
        </w:rPr>
        <w:t>й екологічні аспекти. У ширшому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контексті важливими компонентами о</w:t>
      </w:r>
      <w:r>
        <w:rPr>
          <w:rFonts w:eastAsiaTheme="minorHAnsi"/>
          <w:sz w:val="28"/>
          <w:szCs w:val="28"/>
          <w:lang w:eastAsia="en-US"/>
        </w:rPr>
        <w:t>світи для сталого розвитку є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етика та справедливість.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val="uk-UA"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Загальна мета освіти для сталог</w:t>
      </w:r>
      <w:r>
        <w:rPr>
          <w:rFonts w:eastAsiaTheme="minorHAnsi"/>
          <w:sz w:val="28"/>
          <w:szCs w:val="28"/>
          <w:lang w:eastAsia="en-US"/>
        </w:rPr>
        <w:t>о розвитку - компетентність лю</w:t>
      </w:r>
      <w:r w:rsidRPr="007064DF">
        <w:rPr>
          <w:rFonts w:eastAsiaTheme="minorHAnsi"/>
          <w:sz w:val="28"/>
          <w:szCs w:val="28"/>
          <w:lang w:eastAsia="en-US"/>
        </w:rPr>
        <w:t>дей, які сприяють процесу сталого ро</w:t>
      </w:r>
      <w:r>
        <w:rPr>
          <w:rFonts w:eastAsiaTheme="minorHAnsi"/>
          <w:sz w:val="28"/>
          <w:szCs w:val="28"/>
          <w:lang w:eastAsia="en-US"/>
        </w:rPr>
        <w:t>звитку. Освіта для сталого роз</w:t>
      </w:r>
      <w:r w:rsidRPr="007064DF">
        <w:rPr>
          <w:rFonts w:eastAsiaTheme="minorHAnsi"/>
          <w:sz w:val="28"/>
          <w:szCs w:val="28"/>
          <w:lang w:eastAsia="en-US"/>
        </w:rPr>
        <w:t xml:space="preserve">витку має ґрунтуватися на </w:t>
      </w:r>
      <w:r>
        <w:rPr>
          <w:rFonts w:eastAsiaTheme="minorHAnsi"/>
          <w:sz w:val="28"/>
          <w:szCs w:val="28"/>
          <w:lang w:eastAsia="en-US"/>
        </w:rPr>
        <w:t>комплексному підході до проблем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соціального, економічного й еколог</w:t>
      </w:r>
      <w:r>
        <w:rPr>
          <w:rFonts w:eastAsiaTheme="minorHAnsi"/>
          <w:sz w:val="28"/>
          <w:szCs w:val="28"/>
          <w:lang w:eastAsia="en-US"/>
        </w:rPr>
        <w:t>ічного розвитку, а інформування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має розглядатися</w:t>
      </w:r>
      <w:r>
        <w:rPr>
          <w:rFonts w:eastAsiaTheme="minorHAnsi"/>
          <w:sz w:val="28"/>
          <w:szCs w:val="28"/>
          <w:lang w:eastAsia="en-US"/>
        </w:rPr>
        <w:t xml:space="preserve"> як процес, що доповнює освіту.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val="uk-UA" w:eastAsia="en-US"/>
        </w:rPr>
        <w:t>Освіта є однією з передумов дос</w:t>
      </w:r>
      <w:r w:rsidRPr="007064DF">
        <w:rPr>
          <w:rFonts w:eastAsiaTheme="minorHAnsi"/>
          <w:sz w:val="28"/>
          <w:szCs w:val="28"/>
          <w:lang w:val="uk-UA" w:eastAsia="en-US"/>
        </w:rPr>
        <w:t>ягнення сталого розвитку і важ</w:t>
      </w:r>
      <w:r w:rsidRPr="007064DF">
        <w:rPr>
          <w:rFonts w:eastAsiaTheme="minorHAnsi"/>
          <w:sz w:val="28"/>
          <w:szCs w:val="28"/>
          <w:lang w:val="uk-UA" w:eastAsia="en-US"/>
        </w:rPr>
        <w:t>ливим інструментом ефективного у</w:t>
      </w:r>
      <w:r w:rsidRPr="007064DF">
        <w:rPr>
          <w:rFonts w:eastAsiaTheme="minorHAnsi"/>
          <w:sz w:val="28"/>
          <w:szCs w:val="28"/>
          <w:lang w:val="uk-UA" w:eastAsia="en-US"/>
        </w:rPr>
        <w:t>правління, обґрунтованого прий</w:t>
      </w:r>
      <w:r w:rsidRPr="007064DF">
        <w:rPr>
          <w:rFonts w:eastAsiaTheme="minorHAnsi"/>
          <w:sz w:val="28"/>
          <w:szCs w:val="28"/>
          <w:lang w:val="uk-UA" w:eastAsia="en-US"/>
        </w:rPr>
        <w:t>няття рішень і розвитку демократії.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 xml:space="preserve">Завданнями </w:t>
      </w:r>
      <w:r>
        <w:rPr>
          <w:rFonts w:eastAsiaTheme="minorHAnsi"/>
          <w:sz w:val="28"/>
          <w:szCs w:val="28"/>
          <w:lang w:val="uk-UA" w:eastAsia="en-US"/>
        </w:rPr>
        <w:t xml:space="preserve">впровадження освіти для сталого розвитку </w:t>
      </w:r>
      <w:r w:rsidRPr="007064DF">
        <w:rPr>
          <w:rFonts w:eastAsiaTheme="minorHAnsi"/>
          <w:sz w:val="28"/>
          <w:szCs w:val="28"/>
          <w:lang w:eastAsia="en-US"/>
        </w:rPr>
        <w:t xml:space="preserve"> є: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стимулювання освіти для сталого розвитку шляхом створення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відповідних механізмів у політич</w:t>
      </w:r>
      <w:r>
        <w:rPr>
          <w:rFonts w:eastAsiaTheme="minorHAnsi"/>
          <w:sz w:val="28"/>
          <w:szCs w:val="28"/>
          <w:lang w:eastAsia="en-US"/>
        </w:rPr>
        <w:t>ній, нормативно-правовій сферах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та організаційних засад;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 xml:space="preserve">• заохочення сталого розвитку </w:t>
      </w:r>
      <w:r>
        <w:rPr>
          <w:rFonts w:eastAsiaTheme="minorHAnsi"/>
          <w:sz w:val="28"/>
          <w:szCs w:val="28"/>
          <w:lang w:eastAsia="en-US"/>
        </w:rPr>
        <w:t>в межах формальної і неформаль</w:t>
      </w:r>
      <w:r w:rsidRPr="007064DF">
        <w:rPr>
          <w:rFonts w:eastAsiaTheme="minorHAnsi"/>
          <w:sz w:val="28"/>
          <w:szCs w:val="28"/>
          <w:lang w:eastAsia="en-US"/>
        </w:rPr>
        <w:t>ної освіти;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оволодіння педагогами знаннями</w:t>
      </w:r>
      <w:r>
        <w:rPr>
          <w:rFonts w:eastAsiaTheme="minorHAnsi"/>
          <w:sz w:val="28"/>
          <w:szCs w:val="28"/>
          <w:lang w:eastAsia="en-US"/>
        </w:rPr>
        <w:t>, які дають їм можливість вклю</w:t>
      </w:r>
      <w:r w:rsidRPr="007064DF">
        <w:rPr>
          <w:rFonts w:eastAsiaTheme="minorHAnsi"/>
          <w:sz w:val="28"/>
          <w:szCs w:val="28"/>
          <w:lang w:eastAsia="en-US"/>
        </w:rPr>
        <w:t xml:space="preserve">чати питання сталого розвитку до програм предметів, які </w:t>
      </w:r>
      <w:r>
        <w:rPr>
          <w:rFonts w:eastAsiaTheme="minorHAnsi"/>
          <w:sz w:val="28"/>
          <w:szCs w:val="28"/>
          <w:lang w:eastAsia="en-US"/>
        </w:rPr>
        <w:t>вони ви</w:t>
      </w:r>
      <w:r w:rsidRPr="007064DF">
        <w:rPr>
          <w:rFonts w:eastAsiaTheme="minorHAnsi"/>
          <w:sz w:val="28"/>
          <w:szCs w:val="28"/>
          <w:lang w:eastAsia="en-US"/>
        </w:rPr>
        <w:t>кладають;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забезпечення доступності навча</w:t>
      </w:r>
      <w:r>
        <w:rPr>
          <w:rFonts w:eastAsiaTheme="minorHAnsi"/>
          <w:sz w:val="28"/>
          <w:szCs w:val="28"/>
          <w:lang w:eastAsia="en-US"/>
        </w:rPr>
        <w:t>льних засобів і навчально-мето</w:t>
      </w:r>
      <w:r w:rsidRPr="007064DF">
        <w:rPr>
          <w:rFonts w:eastAsiaTheme="minorHAnsi"/>
          <w:sz w:val="28"/>
          <w:szCs w:val="28"/>
          <w:lang w:eastAsia="en-US"/>
        </w:rPr>
        <w:t>дичних посібників з освіти для сталого розвитку;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сприяння науковим досліджен</w:t>
      </w:r>
      <w:r>
        <w:rPr>
          <w:rFonts w:eastAsiaTheme="minorHAnsi"/>
          <w:sz w:val="28"/>
          <w:szCs w:val="28"/>
          <w:lang w:eastAsia="en-US"/>
        </w:rPr>
        <w:t>ням в галузі освіти для сталого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>розвитку;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зміцнення міжнародного співробітництва в галузі осв</w:t>
      </w:r>
      <w:r>
        <w:rPr>
          <w:rFonts w:eastAsiaTheme="minorHAnsi"/>
          <w:sz w:val="28"/>
          <w:szCs w:val="28"/>
          <w:lang w:eastAsia="en-US"/>
        </w:rPr>
        <w:t>іти для ста</w:t>
      </w:r>
      <w:r w:rsidRPr="007064DF">
        <w:rPr>
          <w:rFonts w:eastAsiaTheme="minorHAnsi"/>
          <w:sz w:val="28"/>
          <w:szCs w:val="28"/>
          <w:lang w:eastAsia="en-US"/>
        </w:rPr>
        <w:t>лого розвитку.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Ключовими темами сталого розвитку є: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lastRenderedPageBreak/>
        <w:t>• зменшення масштабів бідності;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громадянськість, мир, етичність;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відповідальність в локальному і глобальному контексті;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демократія і управління;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справедливість і безпека;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права людини;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охорона здоров'я;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рівність статей;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культурне різноманіття;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розвиток сільських і міських районів;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економіка, структури виробництва і споживання;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корпоративна відповідальність;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охорона довкілля;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управління природними ресурсами;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sz w:val="28"/>
          <w:szCs w:val="28"/>
          <w:lang w:val="uk-UA"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• біологічне та ландшафтне різноманіття.__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</w:t>
      </w:r>
      <w:r w:rsidRPr="007064DF">
        <w:rPr>
          <w:rFonts w:eastAsiaTheme="minorHAnsi"/>
          <w:sz w:val="28"/>
          <w:szCs w:val="28"/>
          <w:lang w:eastAsia="en-US"/>
        </w:rPr>
        <w:t xml:space="preserve">Освіта для сталого розвитку 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7064DF">
        <w:rPr>
          <w:rFonts w:eastAsiaTheme="minorHAnsi"/>
          <w:sz w:val="28"/>
          <w:szCs w:val="28"/>
          <w:lang w:eastAsia="en-US"/>
        </w:rPr>
        <w:t xml:space="preserve">потребує переорієнтації уваги із </w:t>
      </w:r>
      <w:r>
        <w:rPr>
          <w:rFonts w:eastAsiaTheme="minorHAnsi"/>
          <w:sz w:val="28"/>
          <w:szCs w:val="28"/>
          <w:lang w:eastAsia="en-US"/>
        </w:rPr>
        <w:t>забезпечення знаннями на опрацю</w:t>
      </w:r>
      <w:r w:rsidRPr="007064DF">
        <w:rPr>
          <w:rFonts w:eastAsiaTheme="minorHAnsi"/>
          <w:sz w:val="28"/>
          <w:szCs w:val="28"/>
          <w:lang w:eastAsia="en-US"/>
        </w:rPr>
        <w:t>вання проблем і пошук можливих ріше</w:t>
      </w:r>
      <w:r>
        <w:rPr>
          <w:rFonts w:eastAsiaTheme="minorHAnsi"/>
          <w:sz w:val="28"/>
          <w:szCs w:val="28"/>
          <w:lang w:eastAsia="en-US"/>
        </w:rPr>
        <w:t>нь. В освіті слід зберігати тра</w:t>
      </w:r>
      <w:r w:rsidRPr="007064DF">
        <w:rPr>
          <w:rFonts w:eastAsiaTheme="minorHAnsi"/>
          <w:sz w:val="28"/>
          <w:szCs w:val="28"/>
          <w:lang w:eastAsia="en-US"/>
        </w:rPr>
        <w:t>диційний акцент на викладанні окр</w:t>
      </w:r>
      <w:r>
        <w:rPr>
          <w:rFonts w:eastAsiaTheme="minorHAnsi"/>
          <w:sz w:val="28"/>
          <w:szCs w:val="28"/>
          <w:lang w:eastAsia="en-US"/>
        </w:rPr>
        <w:t>емих предметів, водночас відкри</w:t>
      </w:r>
      <w:r w:rsidRPr="007064DF">
        <w:rPr>
          <w:rFonts w:eastAsiaTheme="minorHAnsi"/>
          <w:sz w:val="28"/>
          <w:szCs w:val="28"/>
          <w:lang w:eastAsia="en-US"/>
        </w:rPr>
        <w:t>ваючи можливості для багатостороннього і міждисциплінарного</w:t>
      </w:r>
    </w:p>
    <w:p w:rsidR="007064DF" w:rsidRPr="007064DF" w:rsidRDefault="007064DF" w:rsidP="007064DF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  <w:r w:rsidRPr="007064DF">
        <w:rPr>
          <w:rFonts w:eastAsiaTheme="minorHAnsi"/>
          <w:sz w:val="28"/>
          <w:szCs w:val="28"/>
          <w:lang w:eastAsia="en-US"/>
        </w:rPr>
        <w:t>аналізу ситуацій з реального життя</w:t>
      </w:r>
      <w:r>
        <w:rPr>
          <w:rFonts w:eastAsiaTheme="minorHAnsi"/>
          <w:sz w:val="28"/>
          <w:szCs w:val="28"/>
          <w:lang w:eastAsia="en-US"/>
        </w:rPr>
        <w:t>. Усе це впливатиме на структу</w:t>
      </w:r>
      <w:r w:rsidRPr="007064DF">
        <w:rPr>
          <w:rFonts w:eastAsiaTheme="minorHAnsi"/>
          <w:sz w:val="28"/>
          <w:szCs w:val="28"/>
          <w:lang w:eastAsia="en-US"/>
        </w:rPr>
        <w:t>ру навчальних програм та методи вик</w:t>
      </w:r>
      <w:r>
        <w:rPr>
          <w:rFonts w:eastAsiaTheme="minorHAnsi"/>
          <w:sz w:val="28"/>
          <w:szCs w:val="28"/>
          <w:lang w:eastAsia="en-US"/>
        </w:rPr>
        <w:t>ладання і вимагатиме від викла</w:t>
      </w:r>
      <w:r w:rsidRPr="007064DF">
        <w:rPr>
          <w:rFonts w:eastAsiaTheme="minorHAnsi"/>
          <w:sz w:val="28"/>
          <w:szCs w:val="28"/>
          <w:lang w:eastAsia="en-US"/>
        </w:rPr>
        <w:t>дачів відмовитися від ролі тільки носіїв</w:t>
      </w:r>
      <w:r>
        <w:rPr>
          <w:rFonts w:eastAsiaTheme="minorHAnsi"/>
          <w:sz w:val="28"/>
          <w:szCs w:val="28"/>
          <w:lang w:eastAsia="en-US"/>
        </w:rPr>
        <w:t xml:space="preserve"> інформації, а осіб, які навча</w:t>
      </w:r>
      <w:r w:rsidRPr="007064DF">
        <w:rPr>
          <w:rFonts w:eastAsiaTheme="minorHAnsi"/>
          <w:sz w:val="28"/>
          <w:szCs w:val="28"/>
          <w:lang w:eastAsia="en-US"/>
        </w:rPr>
        <w:t>ються, від ролі лише споживачів інформації.</w:t>
      </w:r>
    </w:p>
    <w:p w:rsidR="00314268" w:rsidRPr="007064DF" w:rsidRDefault="00314268" w:rsidP="007064DF">
      <w:pPr>
        <w:pStyle w:val="a3"/>
        <w:jc w:val="both"/>
        <w:rPr>
          <w:b/>
          <w:sz w:val="28"/>
          <w:szCs w:val="28"/>
          <w:lang w:val="uk-UA"/>
        </w:rPr>
      </w:pPr>
    </w:p>
    <w:p w:rsidR="007064DF" w:rsidRPr="007064DF" w:rsidRDefault="007064DF" w:rsidP="007064DF">
      <w:pPr>
        <w:pStyle w:val="a3"/>
        <w:jc w:val="both"/>
        <w:rPr>
          <w:b/>
          <w:sz w:val="28"/>
          <w:szCs w:val="28"/>
          <w:lang w:val="uk-UA"/>
        </w:rPr>
      </w:pPr>
    </w:p>
    <w:p w:rsidR="007064DF" w:rsidRDefault="007064DF" w:rsidP="007064DF">
      <w:pPr>
        <w:pStyle w:val="a3"/>
        <w:jc w:val="center"/>
        <w:rPr>
          <w:b/>
          <w:sz w:val="28"/>
          <w:szCs w:val="28"/>
          <w:lang w:val="uk-UA"/>
        </w:rPr>
      </w:pPr>
      <w:r w:rsidRPr="007064DF">
        <w:rPr>
          <w:b/>
          <w:sz w:val="28"/>
          <w:szCs w:val="28"/>
          <w:lang w:val="uk-UA"/>
        </w:rPr>
        <w:t>Основні складові освіти для сталого розвитку</w:t>
      </w:r>
    </w:p>
    <w:p w:rsidR="00016210" w:rsidRPr="00EC6901" w:rsidRDefault="007064DF" w:rsidP="007064DF">
      <w:pPr>
        <w:rPr>
          <w:color w:val="000000"/>
          <w:sz w:val="28"/>
          <w:szCs w:val="28"/>
          <w:lang w:val="uk-UA"/>
        </w:rPr>
      </w:pPr>
      <w:r w:rsidRPr="00E3753D">
        <w:rPr>
          <w:rFonts w:ascii="Verdana" w:hAnsi="Verdana"/>
          <w:color w:val="000000"/>
          <w:sz w:val="20"/>
          <w:szCs w:val="20"/>
        </w:rPr>
        <w:br/>
      </w:r>
      <w:r w:rsidRPr="00E3753D">
        <w:rPr>
          <w:rFonts w:ascii="Verdana" w:hAnsi="Verdana"/>
          <w:color w:val="000000"/>
          <w:sz w:val="20"/>
          <w:szCs w:val="20"/>
        </w:rPr>
        <w:br/>
      </w:r>
      <w:r w:rsidR="00016210" w:rsidRPr="00EC6901">
        <w:rPr>
          <w:color w:val="000000"/>
          <w:sz w:val="28"/>
          <w:szCs w:val="28"/>
          <w:lang w:val="uk-UA"/>
        </w:rPr>
        <w:t xml:space="preserve">1. </w:t>
      </w:r>
      <w:r w:rsidR="00016210" w:rsidRPr="00EC6901">
        <w:rPr>
          <w:b/>
          <w:color w:val="000000"/>
          <w:sz w:val="28"/>
          <w:szCs w:val="28"/>
          <w:lang w:val="uk-UA"/>
        </w:rPr>
        <w:t>Політика і право:</w:t>
      </w:r>
      <w:r w:rsidR="00016210" w:rsidRPr="00EC6901">
        <w:rPr>
          <w:color w:val="000000"/>
          <w:sz w:val="28"/>
          <w:szCs w:val="28"/>
          <w:lang w:val="uk-UA"/>
        </w:rPr>
        <w:t xml:space="preserve"> сучасний розвиток демократії, система розумного законодавства, соціальна справедливість, забезпечення всіх свободи і рівноправності всіх людей перед законом, координація урядових і цивільних структур у забезпеченні ноосферного розвитку суспільства;</w:t>
      </w:r>
    </w:p>
    <w:p w:rsidR="00016210" w:rsidRPr="00EC6901" w:rsidRDefault="00016210" w:rsidP="007064DF">
      <w:pPr>
        <w:rPr>
          <w:color w:val="000000"/>
          <w:sz w:val="28"/>
          <w:szCs w:val="28"/>
          <w:lang w:val="uk-UA"/>
        </w:rPr>
      </w:pPr>
      <w:r w:rsidRPr="00EC6901">
        <w:rPr>
          <w:color w:val="000000"/>
          <w:sz w:val="28"/>
          <w:szCs w:val="28"/>
          <w:lang w:val="uk-UA"/>
        </w:rPr>
        <w:t>2.</w:t>
      </w:r>
      <w:r w:rsidRPr="00EC6901">
        <w:rPr>
          <w:b/>
          <w:color w:val="000000"/>
          <w:sz w:val="28"/>
          <w:szCs w:val="28"/>
          <w:lang w:val="uk-UA"/>
        </w:rPr>
        <w:t>Економіка:</w:t>
      </w:r>
      <w:r w:rsidRPr="00EC6901">
        <w:rPr>
          <w:color w:val="000000"/>
          <w:sz w:val="28"/>
          <w:szCs w:val="28"/>
          <w:lang w:val="uk-UA"/>
        </w:rPr>
        <w:t xml:space="preserve"> розумне поєднання всіх форм власності в народному господарстві, цивілізована товарно – ринкова економіка, демонополізація і вільна конкуренція виробників і споживачів, виробництво сільськогосподарської та промислової продукції, культурних благ у достатній кількості для забезпечення основних життєвих потреб усіх жителів планети;</w:t>
      </w:r>
    </w:p>
    <w:p w:rsidR="00016210" w:rsidRPr="00EC6901" w:rsidRDefault="00016210" w:rsidP="007064DF">
      <w:pPr>
        <w:rPr>
          <w:color w:val="000000"/>
          <w:sz w:val="28"/>
          <w:szCs w:val="28"/>
          <w:lang w:val="uk-UA"/>
        </w:rPr>
      </w:pPr>
      <w:r w:rsidRPr="00EC6901">
        <w:rPr>
          <w:color w:val="000000"/>
          <w:sz w:val="28"/>
          <w:szCs w:val="28"/>
          <w:lang w:val="uk-UA"/>
        </w:rPr>
        <w:t xml:space="preserve">3. </w:t>
      </w:r>
      <w:r w:rsidRPr="00EC6901">
        <w:rPr>
          <w:b/>
          <w:color w:val="000000"/>
          <w:sz w:val="28"/>
          <w:szCs w:val="28"/>
          <w:lang w:val="uk-UA"/>
        </w:rPr>
        <w:t>Навколишнє природнє середовище</w:t>
      </w:r>
      <w:r w:rsidRPr="00EC6901">
        <w:rPr>
          <w:color w:val="000000"/>
          <w:sz w:val="28"/>
          <w:szCs w:val="28"/>
          <w:lang w:val="uk-UA"/>
        </w:rPr>
        <w:t xml:space="preserve">: забезпечення коеволюції суспільства і природи, людини і біосфери, поновлення відносної гармонії між ними; збереження екологічних можливостей економічного зростання наступних поколінь; розроблення і практична реалізація методів ефективного використання природніх ресурсів;забезпечення екологічної безпеки розвиток; широкий розвиток біотехнологій і впровадження маловідходних технологій; </w:t>
      </w:r>
      <w:r w:rsidRPr="00EC6901">
        <w:rPr>
          <w:color w:val="000000"/>
          <w:sz w:val="28"/>
          <w:szCs w:val="28"/>
          <w:lang w:val="uk-UA"/>
        </w:rPr>
        <w:lastRenderedPageBreak/>
        <w:t xml:space="preserve">поступовий перехід до альтернативної енергетики; удосконалення методів захисту довкілля; екологічна освіта молоді; </w:t>
      </w:r>
    </w:p>
    <w:p w:rsidR="00016210" w:rsidRPr="00EC6901" w:rsidRDefault="00016210" w:rsidP="007064DF">
      <w:pPr>
        <w:rPr>
          <w:color w:val="000000"/>
          <w:sz w:val="28"/>
          <w:szCs w:val="28"/>
          <w:lang w:val="uk-UA"/>
        </w:rPr>
      </w:pPr>
      <w:r w:rsidRPr="00EC6901">
        <w:rPr>
          <w:color w:val="000000"/>
          <w:sz w:val="28"/>
          <w:szCs w:val="28"/>
          <w:lang w:val="uk-UA"/>
        </w:rPr>
        <w:t xml:space="preserve">4. </w:t>
      </w:r>
      <w:r w:rsidRPr="00EC6901">
        <w:rPr>
          <w:b/>
          <w:color w:val="000000"/>
          <w:sz w:val="28"/>
          <w:szCs w:val="28"/>
          <w:lang w:val="uk-UA"/>
        </w:rPr>
        <w:t>Соціум:</w:t>
      </w:r>
      <w:r w:rsidRPr="00EC6901">
        <w:rPr>
          <w:color w:val="000000"/>
          <w:sz w:val="28"/>
          <w:szCs w:val="28"/>
          <w:lang w:val="uk-UA"/>
        </w:rPr>
        <w:t xml:space="preserve"> ліквідація голоду, злиденності і безробіття; турбота про дітей, людей похилого віку і калік; виховання і освіта дітей та підлітків; розвиток широкої мережі професійних середніх і вищих навчальних закладів; </w:t>
      </w:r>
    </w:p>
    <w:p w:rsidR="00016210" w:rsidRPr="00EC6901" w:rsidRDefault="00016210" w:rsidP="007064DF">
      <w:pPr>
        <w:rPr>
          <w:color w:val="000000"/>
          <w:sz w:val="28"/>
          <w:szCs w:val="28"/>
          <w:lang w:val="uk-UA"/>
        </w:rPr>
      </w:pPr>
      <w:r w:rsidRPr="00EC6901">
        <w:rPr>
          <w:color w:val="000000"/>
          <w:sz w:val="28"/>
          <w:szCs w:val="28"/>
          <w:lang w:val="uk-UA"/>
        </w:rPr>
        <w:t xml:space="preserve">5. </w:t>
      </w:r>
      <w:r w:rsidRPr="00EC6901">
        <w:rPr>
          <w:b/>
          <w:color w:val="000000"/>
          <w:sz w:val="28"/>
          <w:szCs w:val="28"/>
          <w:lang w:val="uk-UA"/>
        </w:rPr>
        <w:t>Міжнародні відносини:</w:t>
      </w:r>
      <w:r w:rsidRPr="00EC6901">
        <w:rPr>
          <w:color w:val="000000"/>
          <w:sz w:val="28"/>
          <w:szCs w:val="28"/>
          <w:lang w:val="uk-UA"/>
        </w:rPr>
        <w:t xml:space="preserve"> попередження нової світової війни та регіональних конфліктів; забезпечення партнерства всіх країн і народів у промисловості, сільському господарстві, культурі й науці на основі рівноправного співробітництва; надання всебічної допомоги слаборозвиненим країнам; </w:t>
      </w:r>
    </w:p>
    <w:p w:rsidR="00016210" w:rsidRPr="00EC6901" w:rsidRDefault="00016210" w:rsidP="007064DF">
      <w:pPr>
        <w:rPr>
          <w:color w:val="000000"/>
          <w:sz w:val="28"/>
          <w:szCs w:val="28"/>
          <w:lang w:val="uk-UA"/>
        </w:rPr>
      </w:pPr>
      <w:r w:rsidRPr="00EC6901">
        <w:rPr>
          <w:color w:val="000000"/>
          <w:sz w:val="28"/>
          <w:szCs w:val="28"/>
          <w:lang w:val="uk-UA"/>
        </w:rPr>
        <w:t xml:space="preserve">6. </w:t>
      </w:r>
      <w:r w:rsidRPr="00EC6901">
        <w:rPr>
          <w:b/>
          <w:color w:val="000000"/>
          <w:sz w:val="28"/>
          <w:szCs w:val="28"/>
          <w:lang w:val="uk-UA"/>
        </w:rPr>
        <w:t>Інформація:</w:t>
      </w:r>
      <w:r w:rsidRPr="00EC6901">
        <w:rPr>
          <w:color w:val="000000"/>
          <w:sz w:val="28"/>
          <w:szCs w:val="28"/>
          <w:lang w:val="uk-UA"/>
        </w:rPr>
        <w:t xml:space="preserve"> високий рівень науки і техніки та втілення їх досягнень у практику; розвиток народної освіти та засобів масової інформації, їх правдивість;</w:t>
      </w:r>
      <w:r w:rsidR="00E76578" w:rsidRPr="00EC69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76578" w:rsidRPr="00EC6901">
        <w:rPr>
          <w:color w:val="000000"/>
          <w:sz w:val="28"/>
          <w:szCs w:val="28"/>
          <w:lang w:val="uk-UA"/>
        </w:rPr>
        <w:t>комп’ютерізація</w:t>
      </w:r>
      <w:proofErr w:type="spellEnd"/>
      <w:r w:rsidR="00E76578" w:rsidRPr="00EC6901">
        <w:rPr>
          <w:color w:val="000000"/>
          <w:sz w:val="28"/>
          <w:szCs w:val="28"/>
          <w:lang w:val="uk-UA"/>
        </w:rPr>
        <w:t xml:space="preserve"> та інформатизація народного господарства та культури; масове використання електронних засобів для пропаганди усіх стратегій сталого розвитку; </w:t>
      </w:r>
    </w:p>
    <w:p w:rsidR="007064DF" w:rsidRPr="00E3753D" w:rsidRDefault="00016210" w:rsidP="007064DF">
      <w:pPr>
        <w:rPr>
          <w:color w:val="000000"/>
          <w:sz w:val="28"/>
          <w:szCs w:val="28"/>
          <w:lang w:val="uk-UA"/>
        </w:rPr>
      </w:pPr>
      <w:r w:rsidRPr="00EC6901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7064DF" w:rsidRPr="00E3753D">
        <w:rPr>
          <w:color w:val="000000"/>
          <w:sz w:val="28"/>
          <w:szCs w:val="28"/>
          <w:lang w:val="uk-UA"/>
        </w:rPr>
        <w:br/>
      </w:r>
    </w:p>
    <w:tbl>
      <w:tblPr>
        <w:tblW w:w="3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7064DF" w:rsidRPr="00E3753D" w:rsidTr="001E474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064DF" w:rsidRPr="00E3753D" w:rsidRDefault="007064DF" w:rsidP="001E4748">
            <w:pPr>
              <w:shd w:val="clear" w:color="auto" w:fill="FFFFFF"/>
              <w:spacing w:before="100" w:beforeAutospacing="1" w:after="100" w:afterAutospacing="1"/>
              <w:ind w:left="150" w:right="15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064DF" w:rsidRPr="00EC6901" w:rsidRDefault="007064DF" w:rsidP="007064DF">
      <w:pPr>
        <w:pStyle w:val="a3"/>
        <w:rPr>
          <w:sz w:val="28"/>
          <w:szCs w:val="28"/>
          <w:lang w:val="uk-UA"/>
        </w:rPr>
      </w:pPr>
    </w:p>
    <w:sectPr w:rsidR="007064DF" w:rsidRPr="00EC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itishCouncilSansCyr-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DF"/>
    <w:rsid w:val="00016210"/>
    <w:rsid w:val="00314268"/>
    <w:rsid w:val="007064DF"/>
    <w:rsid w:val="00E76578"/>
    <w:rsid w:val="00E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70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70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2012-03-29T16:48:00Z</dcterms:created>
  <dcterms:modified xsi:type="dcterms:W3CDTF">2012-03-29T17:38:00Z</dcterms:modified>
</cp:coreProperties>
</file>